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334" w:tblpY="256"/>
        <w:tblOverlap w:val="never"/>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0"/>
        <w:gridCol w:w="1253"/>
        <w:gridCol w:w="759"/>
        <w:gridCol w:w="926"/>
        <w:gridCol w:w="1037"/>
        <w:gridCol w:w="1796"/>
        <w:gridCol w:w="1277"/>
        <w:gridCol w:w="675"/>
        <w:gridCol w:w="807"/>
        <w:gridCol w:w="5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894"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4894" w:type="dxa"/>
            <w:gridSpan w:val="10"/>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rPr>
            </w:pPr>
            <w:bookmarkStart w:id="0" w:name="_GoBack"/>
            <w:r>
              <w:rPr>
                <w:rFonts w:hint="eastAsia" w:ascii="方正黑体_GBK" w:hAnsi="方正黑体_GBK" w:eastAsia="方正黑体_GBK" w:cs="方正黑体_GBK"/>
                <w:color w:val="auto"/>
                <w:kern w:val="0"/>
                <w:sz w:val="36"/>
                <w:szCs w:val="36"/>
                <w:highlight w:val="none"/>
                <w:lang w:val="en-US" w:eastAsia="zh-CN" w:bidi="ar"/>
              </w:rPr>
              <w:t>玉溪市开发投资有限公司2024年市场化选聘经营管理人员岗位表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序号</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选聘岗位</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招聘</w:t>
            </w:r>
          </w:p>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人数</w:t>
            </w:r>
          </w:p>
        </w:tc>
        <w:tc>
          <w:tcPr>
            <w:tcW w:w="92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性别</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学历</w:t>
            </w:r>
          </w:p>
        </w:tc>
        <w:tc>
          <w:tcPr>
            <w:tcW w:w="1796" w:type="dxa"/>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毕业证书外的要求</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政治面貌</w:t>
            </w:r>
          </w:p>
        </w:tc>
        <w:tc>
          <w:tcPr>
            <w:tcW w:w="80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年龄</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01</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法务及风险管控部副经理</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本科及以上学历</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法律、工商管理、审计等相关专业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法律职业资格或律师资格证</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45周岁及以下</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1.具有8年以上法律事务、风险管控相关的管理岗位经验或8年以上企业经营管理、国资监管业务管理岗位经验并实际从事法律事务或风险管控相关工作；</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2.精通法律业务，具有较高的政策水平和决策判断能力、经营管理能力、组织协调能力和监督控制能力，具备处理复杂疑难法律事务、突发事件的能力和工作经验，具有良好的职业道德操守和个人信用记录。</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3.熟悉现代企业经营管理，具有较高的政策水平、较强判断能力、沟通协调能力、处理复杂问题和突发事件能力。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02</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玉溪国粮粮食集团有限公司副总经理</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本科及以上学历</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财务管理、会计、审计、金融、税务等相关专业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45周岁及以下</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1.具有8年以上财务管理工作经历或者与企业管理工作相关经历，具有2年以上企业高级管理人员工作经验或企业负责人工作经历；</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2.熟悉国家粮食政策，了解粮食经济现状与发展趋势，有国企改革、财务管理、资产盘活、粮食经营等相关工作经历；</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3.具有现代企业管理理念，有较强的组织协调能力、决策判断能力、仓储管理能力或经营管理能力、沟通协调能力和处理复杂问题与突发事件的能力，以及一定的市场分析及判断能力；</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4.忠实履行岗位职责，全面完成各项工作任务，具有开拓创新精神和竞争意识，取得过优良的工作业绩。</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BE31ECB-C125-474E-8919-0095A070A10C}"/>
  </w:font>
  <w:font w:name="方正仿宋_GBK">
    <w:panose1 w:val="02000000000000000000"/>
    <w:charset w:val="86"/>
    <w:family w:val="auto"/>
    <w:pitch w:val="default"/>
    <w:sig w:usb0="A00002BF" w:usb1="38CF7CFA" w:usb2="00082016" w:usb3="00000000" w:csb0="00040001" w:csb1="00000000"/>
    <w:embedRegular r:id="rId2" w:fontKey="{5CEAD3CB-9466-4410-AB67-8385976A306F}"/>
  </w:font>
  <w:font w:name="方正黑体_GBK">
    <w:altName w:val="Arial Unicode MS"/>
    <w:panose1 w:val="03000509000000000000"/>
    <w:charset w:val="86"/>
    <w:family w:val="auto"/>
    <w:pitch w:val="default"/>
    <w:sig w:usb0="00000000" w:usb1="00000000" w:usb2="00000000" w:usb3="00000000" w:csb0="00040000" w:csb1="00000000"/>
    <w:embedRegular r:id="rId3" w:fontKey="{A883FDE3-6AFC-4E45-9845-0C3957496EA3}"/>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jg5MDhlNTgzZTIxMzc3ZGRhOGE1ZTI2OTYyNDIifQ=="/>
  </w:docVars>
  <w:rsids>
    <w:rsidRoot w:val="00000000"/>
    <w:rsid w:val="2ED6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2024-06-28T08:31:06Z</dcterms:created>
  <dc:creator>Administrator</dc:creator>
  <cp:lastModifiedBy>WPS_1511438228</cp:lastModifiedBy>
  <dcterms:modified xsi:type="dcterms:W3CDTF">2024-06-28T08:31:17Z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06F4B7194E244CE4905C864B993A4F38_12</vt:lpwstr>
  </property>
</Properties>
</file>